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7C2F" w14:textId="77777777" w:rsidR="0011546D" w:rsidRPr="00E73F3E" w:rsidRDefault="0011546D" w:rsidP="0011546D">
      <w:pPr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数据收集示例</w:t>
      </w:r>
    </w:p>
    <w:p w14:paraId="78FFE033" w14:textId="77777777" w:rsidR="0011546D" w:rsidRPr="00280266" w:rsidRDefault="0011546D" w:rsidP="0011546D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</w:pPr>
      <w:r w:rsidRPr="00280266"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Materials and Methods</w:t>
      </w:r>
      <w:r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(</w:t>
      </w:r>
      <w:r>
        <w:rPr>
          <w:rFonts w:ascii="Times New Roman" w:eastAsia="宋体" w:hAnsi="Times New Roman" w:cs="Times New Roman"/>
          <w:b/>
          <w:color w:val="000000" w:themeColor="text1"/>
          <w:sz w:val="28"/>
          <w:szCs w:val="28"/>
        </w:rPr>
        <w:t>General Information)</w:t>
      </w:r>
    </w:p>
    <w:p w14:paraId="0B490F86" w14:textId="77777777" w:rsidR="0011546D" w:rsidRPr="00280266" w:rsidRDefault="0011546D" w:rsidP="0011546D">
      <w:pPr>
        <w:spacing w:line="360" w:lineRule="auto"/>
        <w:ind w:firstLineChars="200" w:firstLine="480"/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  <w:vertAlign w:val="subscript"/>
        </w:rPr>
      </w:pP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manipulations were carried out using standard Schlenk, high-vacuum and glovebox techniques. </w:t>
      </w:r>
      <w:proofErr w:type="spellStart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THF</w:t>
      </w:r>
      <w:proofErr w:type="spellEnd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, Et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O, 1,4-dioxane, and toluene were distilled from sodium benzophenone </w:t>
      </w:r>
      <w:proofErr w:type="spellStart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ketyl</w:t>
      </w:r>
      <w:proofErr w:type="spellEnd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prior to use.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Iron(</w:t>
      </w:r>
      <w:proofErr w:type="gramEnd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II) chloride (99.99%) and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EtMgBr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(1.0 M in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THF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) was purchased from Sigma-Aldrich and used as received. 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alkynes and 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silanes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for </w:t>
      </w:r>
      <w:proofErr w:type="spellStart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hydrosilylation</w:t>
      </w:r>
      <w:proofErr w:type="spellEnd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were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commercially available were purchased from Sigma-Aldrich, Alfa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Aesar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Acros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, or TCI, and the other alkynes</w:t>
      </w:r>
      <w:r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were synthesized according to 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reported procedures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. A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lkynes and 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silanes</w:t>
      </w:r>
      <w:r w:rsidRPr="00280266">
        <w:rPr>
          <w:rFonts w:ascii="Times New Roman" w:eastAsia="宋体" w:hAnsi="Times New Roman" w:cs="Times New Roman"/>
          <w:bCs/>
          <w:color w:val="000000" w:themeColor="text1"/>
          <w:kern w:val="0"/>
          <w:sz w:val="24"/>
          <w:szCs w:val="24"/>
        </w:rPr>
        <w:t xml:space="preserve"> were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dried over LiAlH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bscript"/>
        </w:rPr>
        <w:t xml:space="preserve">4 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or CaH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Pr="00280266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and distilled prior to use.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47725942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the iron-catalyzed </w:t>
      </w:r>
      <w:proofErr w:type="spellStart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hydrosilylation</w:t>
      </w:r>
      <w:proofErr w:type="spellEnd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 was performed in an argon-filled glovebox and all chemicals and apparatus used in this reaction were thoroughly dried before use.</w:t>
      </w:r>
      <w:bookmarkEnd w:id="0"/>
    </w:p>
    <w:p w14:paraId="0CE53910" w14:textId="77777777" w:rsidR="0011546D" w:rsidRPr="00280266" w:rsidRDefault="0011546D" w:rsidP="0011546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</w:rPr>
      </w:pP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Melting points were measured on a RY-I apparatus and uncorrected. Infrared spectra were recorded on a Bruker Fourier transform spectrometric (FT-IR) and reported in wave number. High resolution mass spectrometric (HRMS) analyses spectra were determined on an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IonSpec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FT-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ICR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mass spectrometer and Waters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GCT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Premier mass spectrometer. Trace metal contamination analyses of iron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precatalysts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ICP-OES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spectro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-blue) were performed using a X7 (Thermo Electron Corporation) instruments. Magnetic moment was measured on SQUID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VSM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(Quantum Design). 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H NMR, 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C NMR, 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29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Si NMR spectra were recorded with a Bruker AV 400 spectrometer at 400 MHz (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 NMR), 101 MHz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C"/>
        </w:smartTagPr>
        <w:r w:rsidRPr="00280266">
          <w:rPr>
            <w:rFonts w:ascii="Times New Roman" w:eastAsia="宋体" w:hAnsi="Times New Roman" w:cs="Times New Roman"/>
            <w:color w:val="000000" w:themeColor="text1"/>
            <w:sz w:val="24"/>
            <w:szCs w:val="24"/>
            <w:vertAlign w:val="superscript"/>
          </w:rPr>
          <w:t>13</w:t>
        </w:r>
        <w:r w:rsidRPr="00280266">
          <w:rPr>
            <w:rFonts w:ascii="Times New Roman" w:eastAsia="宋体" w:hAnsi="Times New Roman" w:cs="Times New Roman"/>
            <w:color w:val="000000" w:themeColor="text1"/>
            <w:sz w:val="24"/>
            <w:szCs w:val="24"/>
          </w:rPr>
          <w:t>C</w:t>
        </w:r>
      </w:smartTag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NMR), 79 MHz (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29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Si NMR), and 376 MHz (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19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F NMR). Chemical shifts were reported in ppm down field from internal Me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Si (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 NMR) and CDCl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 xml:space="preserve">3 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"/>
          <w:attr w:name="UnitName" w:val="C"/>
        </w:smartTagPr>
        <w:r w:rsidRPr="00280266">
          <w:rPr>
            <w:rFonts w:ascii="Times New Roman" w:eastAsia="宋体" w:hAnsi="Times New Roman" w:cs="Times New Roman"/>
            <w:color w:val="000000" w:themeColor="text1"/>
            <w:sz w:val="24"/>
            <w:szCs w:val="24"/>
            <w:vertAlign w:val="superscript"/>
          </w:rPr>
          <w:t>13</w:t>
        </w:r>
        <w:r w:rsidRPr="00280266">
          <w:rPr>
            <w:rFonts w:ascii="Times New Roman" w:eastAsia="宋体" w:hAnsi="Times New Roman" w:cs="Times New Roman"/>
            <w:color w:val="000000" w:themeColor="text1"/>
            <w:sz w:val="24"/>
            <w:szCs w:val="24"/>
          </w:rPr>
          <w:t>C</w:t>
        </w:r>
      </w:smartTag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NMR). </w:t>
      </w:r>
      <w:r w:rsidRPr="002802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Gas Chromatography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(GC) analyses were performed using a Hewlett Packard Model HP 7890 Series instruments </w:t>
      </w:r>
      <w:r w:rsidRPr="00280266">
        <w:rPr>
          <w:rStyle w:val="fontstyle01"/>
          <w:rFonts w:ascii="Times New Roman" w:hAnsi="Times New Roman" w:cs="Times New Roman"/>
          <w:color w:val="000000" w:themeColor="text1"/>
        </w:rPr>
        <w:t xml:space="preserve">equipped with an FID detector and a capillary column, HP-5 (Agilent Technologies, 30 m × 0.032 mm × 0.25 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D"/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m film thickness)</w:t>
      </w:r>
      <w:r w:rsidRPr="00280266">
        <w:rPr>
          <w:rStyle w:val="fontstyle01"/>
          <w:rFonts w:ascii="Times New Roman" w:hAnsi="Times New Roman" w:cs="Times New Roman"/>
          <w:color w:val="000000" w:themeColor="text1"/>
        </w:rPr>
        <w:t xml:space="preserve">. Electron paramagnetic resonance (EPR) spectra were recorded on a Bruker </w:t>
      </w:r>
      <w:proofErr w:type="spellStart"/>
      <w:r w:rsidRPr="00280266">
        <w:rPr>
          <w:rStyle w:val="fontstyle01"/>
          <w:rFonts w:ascii="Times New Roman" w:hAnsi="Times New Roman" w:cs="Times New Roman"/>
          <w:color w:val="000000" w:themeColor="text1"/>
        </w:rPr>
        <w:t>ELEXSYS</w:t>
      </w:r>
      <w:proofErr w:type="spellEnd"/>
      <w:r w:rsidRPr="00280266">
        <w:rPr>
          <w:rStyle w:val="fontstyle01"/>
          <w:rFonts w:ascii="Times New Roman" w:hAnsi="Times New Roman" w:cs="Times New Roman"/>
          <w:color w:val="000000" w:themeColor="text1"/>
        </w:rPr>
        <w:t xml:space="preserve"> E580 spectrometer (X-band).</w:t>
      </w:r>
      <w:r w:rsidRPr="00280266">
        <w:rPr>
          <w:rFonts w:ascii="Times New Roman" w:hAnsi="Times New Roman" w:cs="Times New Roman"/>
          <w:color w:val="000000" w:themeColor="text1"/>
          <w:sz w:val="24"/>
        </w:rPr>
        <w:t xml:space="preserve"> The molar masses and their distribution for the polymer samples were determined by GPC on a Waters system equipped with a set of three </w:t>
      </w:r>
      <w:proofErr w:type="spellStart"/>
      <w:r w:rsidRPr="00280266">
        <w:rPr>
          <w:rFonts w:ascii="Times New Roman" w:hAnsi="Times New Roman" w:cs="Times New Roman"/>
          <w:color w:val="000000" w:themeColor="text1"/>
          <w:sz w:val="24"/>
        </w:rPr>
        <w:t>Ultrastyragel</w:t>
      </w:r>
      <w:proofErr w:type="spellEnd"/>
      <w:r w:rsidRPr="00280266">
        <w:rPr>
          <w:rFonts w:ascii="Times New Roman" w:hAnsi="Times New Roman" w:cs="Times New Roman"/>
          <w:color w:val="000000" w:themeColor="text1"/>
          <w:sz w:val="24"/>
        </w:rPr>
        <w:t xml:space="preserve"> columns HT2 30 cm x 7.8 mm; 10 µm particles; exclusion limits: </w:t>
      </w:r>
      <w:r w:rsidRPr="0028026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100-10000 g/mol, respectively), </w:t>
      </w:r>
      <w:proofErr w:type="spellStart"/>
      <w:r w:rsidRPr="00280266">
        <w:rPr>
          <w:rFonts w:ascii="Times New Roman" w:hAnsi="Times New Roman" w:cs="Times New Roman"/>
          <w:color w:val="000000" w:themeColor="text1"/>
          <w:sz w:val="24"/>
        </w:rPr>
        <w:t>THF</w:t>
      </w:r>
      <w:proofErr w:type="spellEnd"/>
      <w:r w:rsidRPr="00280266">
        <w:rPr>
          <w:rFonts w:ascii="Times New Roman" w:hAnsi="Times New Roman" w:cs="Times New Roman"/>
          <w:color w:val="000000" w:themeColor="text1"/>
          <w:sz w:val="24"/>
        </w:rPr>
        <w:t xml:space="preserve"> was used as the mobile phase (1 mL/min), and polystyrene samples as the standards in the calibration of the molar masses.</w:t>
      </w:r>
    </w:p>
    <w:p w14:paraId="50CAC2D3" w14:textId="77777777" w:rsidR="0011546D" w:rsidRPr="000B076A" w:rsidRDefault="0011546D" w:rsidP="0011546D">
      <w:pPr>
        <w:widowControl/>
        <w:jc w:val="left"/>
        <w:rPr>
          <w:rFonts w:ascii="Times New Roman" w:eastAsia="宋体" w:hAnsi="Times New Roman" w:cs="宋体l."/>
          <w:color w:val="000000"/>
          <w:kern w:val="0"/>
          <w:sz w:val="20"/>
          <w:szCs w:val="21"/>
        </w:rPr>
      </w:pPr>
    </w:p>
    <w:p w14:paraId="0DA0F258" w14:textId="77777777" w:rsidR="0011546D" w:rsidRPr="00280266" w:rsidRDefault="0011546D" w:rsidP="0011546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26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Synthesis of</w:t>
      </w:r>
      <w:r w:rsidRPr="00280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2,9-bis((2,4,6-</w:t>
      </w:r>
      <w:proofErr w:type="gramStart"/>
      <w:r w:rsidRPr="00280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triisopropylphenyl)ethynyl</w:t>
      </w:r>
      <w:proofErr w:type="gramEnd"/>
      <w:r w:rsidRPr="00280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)-1,10-phenanthroline (L1k)</w:t>
      </w:r>
    </w:p>
    <w:p w14:paraId="727DDDB4" w14:textId="77777777" w:rsidR="0011546D" w:rsidRPr="00280266" w:rsidRDefault="0011546D" w:rsidP="0011546D">
      <w:pPr>
        <w:pStyle w:val="a5"/>
        <w:spacing w:before="0" w:beforeAutospacing="0" w:after="0" w:afterAutospacing="0" w:line="40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280266">
        <w:rPr>
          <w:rFonts w:ascii="Times New Roman" w:hAnsi="Times New Roman" w:cs="Times New Roman"/>
          <w:color w:val="000000" w:themeColor="text1"/>
        </w:rPr>
        <w:object w:dxaOrig="8089" w:dyaOrig="3211" w14:anchorId="4F259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5pt;height:158.5pt" o:ole="">
            <v:imagedata r:id="rId4" o:title=""/>
          </v:shape>
          <o:OLEObject Type="Embed" ProgID="ChemDraw.Document.6.0" ShapeID="_x0000_i1025" DrawAspect="Content" ObjectID="_1770381668" r:id="rId5"/>
        </w:object>
      </w:r>
    </w:p>
    <w:p w14:paraId="61AF2405" w14:textId="77777777" w:rsidR="0011546D" w:rsidRPr="00280266" w:rsidRDefault="0011546D" w:rsidP="0011546D">
      <w:pPr>
        <w:pStyle w:val="a4"/>
        <w:spacing w:before="0" w:after="0" w:line="360" w:lineRule="auto"/>
        <w:ind w:firstLineChars="200" w:firstLine="480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A suspension of 2,9-dichloro-1,10-phenanthroline (1.0 g, 4 mmol), </w:t>
      </w:r>
      <w:proofErr w:type="gram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Pd(</w:t>
      </w:r>
      <w:proofErr w:type="gram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PPh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(231 mg, 0.2 mmol,),</w:t>
      </w:r>
      <w:r w:rsidRPr="00280266">
        <w:rPr>
          <w:rFonts w:ascii="Times New Roman" w:eastAsia="宋体" w:hAnsi="Times New Roman" w:cs="Times New Roman"/>
          <w:bCs/>
          <w:color w:val="000000" w:themeColor="text1"/>
        </w:rPr>
        <w:t xml:space="preserve"> </w:t>
      </w:r>
      <w:proofErr w:type="spellStart"/>
      <w:r w:rsidRPr="00280266">
        <w:rPr>
          <w:rFonts w:ascii="Times New Roman" w:eastAsia="宋体" w:hAnsi="Times New Roman" w:cs="Times New Roman"/>
          <w:bCs/>
          <w:color w:val="000000" w:themeColor="text1"/>
          <w:sz w:val="24"/>
        </w:rPr>
        <w:t>CuI</w:t>
      </w:r>
      <w:proofErr w:type="spellEnd"/>
      <w:r w:rsidRPr="00280266">
        <w:rPr>
          <w:rFonts w:ascii="Times New Roman" w:eastAsia="宋体" w:hAnsi="Times New Roman" w:cs="Times New Roman"/>
          <w:bCs/>
          <w:color w:val="000000" w:themeColor="text1"/>
          <w:sz w:val="24"/>
        </w:rPr>
        <w:t xml:space="preserve"> (76 mg, 0.4 mmol) and aryl acetylene (2.0 g, 8.8 mmol)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280266">
        <w:rPr>
          <w:rFonts w:ascii="Times New Roman" w:eastAsia="宋体" w:hAnsi="Times New Roman" w:cs="Times New Roman"/>
          <w:bCs/>
          <w:color w:val="000000" w:themeColor="text1"/>
          <w:sz w:val="24"/>
        </w:rPr>
        <w:t>were added into a 125 mL sealing pipe,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then charged with argon. After that, Et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N (8 mL) and anhydrous </w:t>
      </w:r>
      <w:proofErr w:type="spellStart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THF</w:t>
      </w:r>
      <w:proofErr w:type="spellEnd"/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(24 mL) were injected through a syringe. The mixture was heated up to 90 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°C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until the reaction was finished. After cooling to room temperature, the mixture was neutralized with saturated NH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Cl (aq., 50 mL) and extracted with CH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Cl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(100 mL × 3). The combined organic layer was dried over anhydrous MgSO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and concentrated under reduced pressure. The residue was purified by silica-gel column chromatography 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with PE/EA = 20:1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(</w:t>
      </w:r>
      <w:r w:rsidRPr="00280266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v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/</w:t>
      </w:r>
      <w:r w:rsidRPr="00280266">
        <w:rPr>
          <w:rFonts w:ascii="Times New Roman" w:eastAsia="宋体" w:hAnsi="Times New Roman" w:cs="Times New Roman"/>
          <w:i/>
          <w:color w:val="000000" w:themeColor="text1"/>
          <w:sz w:val="24"/>
          <w:szCs w:val="24"/>
        </w:rPr>
        <w:t>v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) as eluent and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precipitated in </w:t>
      </w:r>
      <w:r w:rsidRPr="002802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-hexane/CH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Cl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(20:1, </w:t>
      </w:r>
      <w:r w:rsidRPr="00280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280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) through slow evaporation to give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</w:t>
      </w:r>
      <w:r w:rsidRPr="00280266">
        <w:rPr>
          <w:rFonts w:ascii="Times New Roman" w:eastAsia="宋体" w:hAnsi="Times New Roman" w:cs="Times New Roman"/>
          <w:b/>
          <w:bCs/>
          <w:color w:val="000000" w:themeColor="text1"/>
          <w:sz w:val="24"/>
          <w:szCs w:val="24"/>
        </w:rPr>
        <w:t>L1k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. </w:t>
      </w:r>
    </w:p>
    <w:p w14:paraId="1705C7BC" w14:textId="77777777" w:rsidR="0011546D" w:rsidRPr="00280266" w:rsidRDefault="0011546D" w:rsidP="0011546D">
      <w:pPr>
        <w:pStyle w:val="a4"/>
        <w:spacing w:before="0" w:after="0" w:line="360" w:lineRule="auto"/>
        <w:jc w:val="both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Series number: ZZ-01-12</w:t>
      </w:r>
      <w:r>
        <w:rPr>
          <w:rFonts w:ascii="Times New Roman" w:eastAsia="宋体" w:hAnsi="Times New Roman" w:cs="Times New Roman" w:hint="eastAsia"/>
          <w:bCs/>
          <w:color w:val="000000" w:themeColor="text1"/>
          <w:sz w:val="24"/>
          <w:szCs w:val="24"/>
        </w:rPr>
        <w:t>，</w:t>
      </w:r>
      <w:r w:rsidRPr="0028026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 xml:space="preserve">1.82 g, 72% yield, white solid, melting point: </w:t>
      </w:r>
      <w:r w:rsidRPr="00280266">
        <w:rPr>
          <w:rFonts w:ascii="Times New Roman" w:eastAsia="宋体" w:hAnsi="Times New Roman" w:cs="Times New Roman"/>
          <w:color w:val="000000" w:themeColor="text1"/>
          <w:kern w:val="24"/>
          <w:sz w:val="24"/>
          <w:szCs w:val="24"/>
        </w:rPr>
        <w:t xml:space="preserve">203 – 207 </w:t>
      </w:r>
      <w:r w:rsidRPr="00280266">
        <w:rPr>
          <w:rFonts w:ascii="Times New Roman" w:eastAsia="宋体" w:hAnsi="Times New Roman" w:cs="Times New Roman"/>
          <w:bCs/>
          <w:color w:val="000000" w:themeColor="text1"/>
          <w:sz w:val="24"/>
          <w:szCs w:val="24"/>
        </w:rPr>
        <w:t>℃</w: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p w14:paraId="53CC2AB2" w14:textId="77777777" w:rsidR="0011546D" w:rsidRPr="00280266" w:rsidRDefault="0011546D" w:rsidP="0011546D">
      <w:pPr>
        <w:pStyle w:val="a4"/>
        <w:spacing w:before="0" w:after="0" w:line="360" w:lineRule="auto"/>
        <w:ind w:left="960" w:hangingChars="400" w:hanging="96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802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1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 NMR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(400 MHz, CDCl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δ 8.21 (d, </w:t>
      </w:r>
      <w:r w:rsidRPr="00280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8.2 Hz, 2H), 7.82 (d, </w:t>
      </w:r>
      <w:r w:rsidRPr="00280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8.2 Hz, 2H), 7.78 (s, 2H), 7.05 (s, 4H), 3.81 (</w:t>
      </w:r>
      <w:proofErr w:type="spellStart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hept</w:t>
      </w:r>
      <w:proofErr w:type="spellEnd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0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6.9 Hz, 4H), 2.93 (</w:t>
      </w:r>
      <w:proofErr w:type="spellStart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hept</w:t>
      </w:r>
      <w:proofErr w:type="spellEnd"/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80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6.9 Hz, 2H), 1.36 (d, </w:t>
      </w:r>
      <w:r w:rsidRPr="00280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6.9 Hz, 24H), 1.29 (d, </w:t>
      </w:r>
      <w:r w:rsidRPr="0028026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6.9 Hz, 12H).</w:t>
      </w:r>
    </w:p>
    <w:p w14:paraId="5A8EDFBB" w14:textId="77777777" w:rsidR="0011546D" w:rsidRPr="00280266" w:rsidRDefault="0011546D" w:rsidP="0011546D">
      <w:pPr>
        <w:pStyle w:val="a4"/>
        <w:spacing w:before="0" w:after="0" w:line="360" w:lineRule="auto"/>
        <w:ind w:left="960" w:hangingChars="400" w:hanging="9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2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13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 NMR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(101 MHz, CDCl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280266">
        <w:rPr>
          <w:rFonts w:ascii="Times New Roman" w:hAnsi="Times New Roman" w:cs="Times New Roman"/>
          <w:color w:val="000000" w:themeColor="text1"/>
          <w:sz w:val="24"/>
          <w:szCs w:val="24"/>
        </w:rPr>
        <w:t>) δ 151.8, 150.1, 145.7, 144.7, 135.9, 127.6, 127.0, 126.5, 120.5, 117.5, 97.2, 89.2, 34.6, 31.9, 23.9, 23.6.</w:t>
      </w:r>
    </w:p>
    <w:p w14:paraId="3629E672" w14:textId="77777777" w:rsidR="0011546D" w:rsidRPr="00280266" w:rsidRDefault="0011546D" w:rsidP="0011546D">
      <w:pPr>
        <w:pStyle w:val="a4"/>
        <w:spacing w:before="0" w:after="0" w:line="360" w:lineRule="auto"/>
        <w:ind w:left="960" w:hangingChars="400" w:hanging="9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HRMS (</w:t>
      </w:r>
      <w:proofErr w:type="spellStart"/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ESI</w:t>
      </w:r>
      <w:proofErr w:type="spellEnd"/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)</w:t>
      </w:r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calcd</w:t>
      </w:r>
      <w:proofErr w:type="spellEnd"/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[</w:t>
      </w:r>
      <w:proofErr w:type="spellStart"/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M+H</w:t>
      </w:r>
      <w:proofErr w:type="spellEnd"/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</w:t>
      </w:r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46</w:t>
      </w:r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53</w:t>
      </w:r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proofErr w:type="gramStart"/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2</w:t>
      </w:r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]</w:t>
      </w:r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+</w:t>
      </w:r>
      <w:proofErr w:type="gramEnd"/>
      <w:r w:rsidRPr="002802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633.4203, found 633.4207.</w:t>
      </w:r>
    </w:p>
    <w:p w14:paraId="007A7145" w14:textId="77777777" w:rsidR="0011546D" w:rsidRDefault="0011546D" w:rsidP="0011546D">
      <w:pPr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</w:p>
    <w:p w14:paraId="74580CF9" w14:textId="77777777" w:rsidR="0011546D" w:rsidRPr="00280266" w:rsidRDefault="0011546D" w:rsidP="0011546D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280266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2,9-bis((2,4,6-</w:t>
      </w:r>
      <w:proofErr w:type="gramStart"/>
      <w:r w:rsidRPr="00280266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triisopropylphenyl)ethynyl</w:t>
      </w:r>
      <w:proofErr w:type="gramEnd"/>
      <w:r w:rsidRPr="00280266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)-1,10-phenanthroline (L1k)</w:t>
      </w:r>
    </w:p>
    <w:p w14:paraId="70F6B367" w14:textId="77777777" w:rsidR="0011546D" w:rsidRPr="00280266" w:rsidRDefault="0011546D" w:rsidP="0011546D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 w:themeColor="text1"/>
          <w:sz w:val="24"/>
          <w:szCs w:val="24"/>
        </w:rPr>
        <w:lastRenderedPageBreak/>
        <w:object w:dxaOrig="1440" w:dyaOrig="1440" w14:anchorId="427FF1DE">
          <v:shape id="_x0000_s1026" type="#_x0000_t75" style="position:absolute;left:0;text-align:left;margin-left:0;margin-top:29.95pt;width:98.2pt;height:127.1pt;z-index:251658240">
            <v:imagedata r:id="rId6" o:title=""/>
          </v:shape>
          <o:OLEObject Type="Embed" ProgID="ChemDraw.Document.6.0" ShapeID="_x0000_s1026" DrawAspect="Content" ObjectID="_1770381671" r:id="rId7"/>
        </w:objec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object w:dxaOrig="16290" w:dyaOrig="11370" w14:anchorId="70CC6D05">
          <v:shape id="_x0000_i1026" type="#_x0000_t75" style="width:410.5pt;height:4in" o:ole="">
            <v:imagedata r:id="rId8" o:title=""/>
          </v:shape>
          <o:OLEObject Type="Embed" ProgID="MestReNova.Document.1" ShapeID="_x0000_i1026" DrawAspect="Content" ObjectID="_1770381669" r:id="rId9"/>
        </w:object>
      </w:r>
    </w:p>
    <w:p w14:paraId="434D610B" w14:textId="5A1AFCC1" w:rsidR="0011546D" w:rsidRPr="00280266" w:rsidRDefault="0011546D" w:rsidP="0011546D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0A90A8C2" w14:textId="77777777" w:rsidR="0011546D" w:rsidRPr="00280266" w:rsidRDefault="0011546D" w:rsidP="0011546D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/>
          <w:noProof/>
          <w:color w:val="000000" w:themeColor="text1"/>
          <w:sz w:val="24"/>
          <w:szCs w:val="24"/>
        </w:rPr>
        <w:object w:dxaOrig="1440" w:dyaOrig="1440" w14:anchorId="416EB514">
          <v:shape id="_x0000_s1027" type="#_x0000_t75" style="position:absolute;left:0;text-align:left;margin-left:3.75pt;margin-top:29.05pt;width:100.85pt;height:124.6pt;z-index:251658240">
            <v:imagedata r:id="rId10" o:title=""/>
          </v:shape>
          <o:OLEObject Type="Embed" ProgID="ChemDraw.Document.6.0" ShapeID="_x0000_s1027" DrawAspect="Content" ObjectID="_1770381672" r:id="rId11"/>
        </w:object>
      </w:r>
      <w:r w:rsidRPr="0028026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object w:dxaOrig="16291" w:dyaOrig="11370" w14:anchorId="6D7F56FE">
          <v:shape id="_x0000_i1027" type="#_x0000_t75" style="width:417pt;height:4in" o:ole="">
            <v:imagedata r:id="rId12" o:title=""/>
          </v:shape>
          <o:OLEObject Type="Embed" ProgID="MestReNova.Document.1" ShapeID="_x0000_i1027" DrawAspect="Content" ObjectID="_1770381670" r:id="rId13"/>
        </w:object>
      </w:r>
    </w:p>
    <w:p w14:paraId="6AA6D212" w14:textId="76D2C53C" w:rsidR="0011546D" w:rsidRPr="00280266" w:rsidRDefault="0011546D" w:rsidP="0011546D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65E3F2F0" w14:textId="77777777" w:rsidR="00A026E9" w:rsidRDefault="00A026E9"/>
    <w:sectPr w:rsidR="00A02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l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6D"/>
    <w:rsid w:val="000720B6"/>
    <w:rsid w:val="0011546D"/>
    <w:rsid w:val="0034075F"/>
    <w:rsid w:val="00A026E9"/>
    <w:rsid w:val="00B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8"/>
    <o:shapelayout v:ext="edit">
      <o:idmap v:ext="edit" data="1"/>
    </o:shapelayout>
  </w:shapeDefaults>
  <w:decimalSymbol w:val="."/>
  <w:listSeparator w:val=","/>
  <w14:docId w14:val="169A5D5E"/>
  <w15:chartTrackingRefBased/>
  <w15:docId w15:val="{D7D1D076-68A2-4D02-AF0D-E0CE206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46D"/>
    <w:pPr>
      <w:ind w:firstLineChars="200" w:firstLine="420"/>
    </w:pPr>
  </w:style>
  <w:style w:type="character" w:customStyle="1" w:styleId="fontstyle01">
    <w:name w:val="fontstyle01"/>
    <w:basedOn w:val="a0"/>
    <w:rsid w:val="0011546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4">
    <w:name w:val="正确图片"/>
    <w:basedOn w:val="a"/>
    <w:link w:val="Char"/>
    <w:qFormat/>
    <w:rsid w:val="0011546D"/>
    <w:pPr>
      <w:autoSpaceDE w:val="0"/>
      <w:autoSpaceDN w:val="0"/>
      <w:adjustRightInd w:val="0"/>
      <w:spacing w:before="240" w:after="120"/>
      <w:jc w:val="center"/>
    </w:pPr>
    <w:rPr>
      <w:szCs w:val="21"/>
    </w:rPr>
  </w:style>
  <w:style w:type="character" w:customStyle="1" w:styleId="Char">
    <w:name w:val="正确图片 Char"/>
    <w:basedOn w:val="a0"/>
    <w:link w:val="a4"/>
    <w:rsid w:val="0011546D"/>
    <w:rPr>
      <w:szCs w:val="21"/>
    </w:rPr>
  </w:style>
  <w:style w:type="paragraph" w:styleId="a5">
    <w:name w:val="Normal (Web)"/>
    <w:basedOn w:val="a"/>
    <w:uiPriority w:val="99"/>
    <w:unhideWhenUsed/>
    <w:rsid w:val="001154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4</cp:revision>
  <dcterms:created xsi:type="dcterms:W3CDTF">2024-02-25T07:33:00Z</dcterms:created>
  <dcterms:modified xsi:type="dcterms:W3CDTF">2024-02-25T07:39:00Z</dcterms:modified>
</cp:coreProperties>
</file>